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F73B2">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0D1944F1">
      <w:pPr>
        <w:spacing w:line="540" w:lineRule="exact"/>
        <w:jc w:val="center"/>
        <w:rPr>
          <w:rFonts w:ascii="方正小标宋_GBK" w:hAnsi="华文中宋" w:eastAsia="方正小标宋_GBK" w:cs="宋体"/>
          <w:b/>
          <w:kern w:val="0"/>
          <w:sz w:val="48"/>
          <w:szCs w:val="48"/>
        </w:rPr>
      </w:pPr>
    </w:p>
    <w:p w14:paraId="11DB5E1B">
      <w:pPr>
        <w:spacing w:line="540" w:lineRule="exact"/>
        <w:jc w:val="center"/>
        <w:rPr>
          <w:rFonts w:ascii="方正小标宋_GBK" w:hAnsi="华文中宋" w:eastAsia="方正小标宋_GBK" w:cs="宋体"/>
          <w:b/>
          <w:kern w:val="0"/>
          <w:sz w:val="48"/>
          <w:szCs w:val="48"/>
        </w:rPr>
      </w:pPr>
    </w:p>
    <w:p w14:paraId="519ABBCA">
      <w:pPr>
        <w:spacing w:line="540" w:lineRule="exact"/>
        <w:jc w:val="center"/>
        <w:rPr>
          <w:rFonts w:ascii="方正小标宋_GBK" w:hAnsi="华文中宋" w:eastAsia="方正小标宋_GBK" w:cs="宋体"/>
          <w:b/>
          <w:kern w:val="0"/>
          <w:sz w:val="48"/>
          <w:szCs w:val="48"/>
        </w:rPr>
      </w:pPr>
    </w:p>
    <w:p w14:paraId="1817D839">
      <w:pPr>
        <w:spacing w:line="540" w:lineRule="exact"/>
        <w:jc w:val="center"/>
        <w:rPr>
          <w:rFonts w:ascii="方正小标宋_GBK" w:hAnsi="华文中宋" w:eastAsia="方正小标宋_GBK" w:cs="宋体"/>
          <w:b/>
          <w:kern w:val="0"/>
          <w:sz w:val="48"/>
          <w:szCs w:val="48"/>
        </w:rPr>
      </w:pPr>
    </w:p>
    <w:p w14:paraId="067F0E2B">
      <w:pPr>
        <w:spacing w:line="540" w:lineRule="exact"/>
        <w:jc w:val="center"/>
        <w:rPr>
          <w:rFonts w:ascii="方正小标宋_GBK" w:hAnsi="华文中宋" w:eastAsia="方正小标宋_GBK" w:cs="宋体"/>
          <w:b/>
          <w:kern w:val="0"/>
          <w:sz w:val="48"/>
          <w:szCs w:val="48"/>
        </w:rPr>
      </w:pPr>
    </w:p>
    <w:p w14:paraId="6435D1D0">
      <w:pPr>
        <w:spacing w:line="540" w:lineRule="exact"/>
        <w:jc w:val="center"/>
        <w:rPr>
          <w:rFonts w:ascii="方正小标宋_GBK" w:hAnsi="华文中宋" w:eastAsia="方正小标宋_GBK" w:cs="宋体"/>
          <w:b/>
          <w:kern w:val="0"/>
          <w:sz w:val="48"/>
          <w:szCs w:val="48"/>
        </w:rPr>
      </w:pPr>
    </w:p>
    <w:p w14:paraId="7A3E3E7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6D55DD3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77D1039">
      <w:pPr>
        <w:spacing w:line="540" w:lineRule="exact"/>
        <w:jc w:val="center"/>
        <w:rPr>
          <w:rFonts w:ascii="华文中宋" w:hAnsi="华文中宋" w:eastAsia="华文中宋" w:cs="宋体"/>
          <w:b/>
          <w:kern w:val="0"/>
          <w:sz w:val="52"/>
          <w:szCs w:val="52"/>
        </w:rPr>
      </w:pPr>
    </w:p>
    <w:p w14:paraId="3E2951FD">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4E2A9476">
      <w:pPr>
        <w:spacing w:line="700" w:lineRule="exact"/>
        <w:jc w:val="left"/>
        <w:rPr>
          <w:rFonts w:hint="eastAsia" w:hAnsi="宋体" w:eastAsia="仿宋_GB2312" w:cs="宋体"/>
          <w:kern w:val="0"/>
          <w:sz w:val="36"/>
          <w:szCs w:val="36"/>
        </w:rPr>
      </w:pPr>
    </w:p>
    <w:p w14:paraId="232C717A">
      <w:pPr>
        <w:spacing w:line="700" w:lineRule="exact"/>
        <w:jc w:val="left"/>
        <w:rPr>
          <w:rFonts w:hint="eastAsia" w:hAnsi="宋体" w:eastAsia="仿宋_GB2312" w:cs="宋体"/>
          <w:kern w:val="0"/>
          <w:sz w:val="36"/>
          <w:szCs w:val="36"/>
        </w:rPr>
      </w:pPr>
    </w:p>
    <w:p w14:paraId="5AAFAB78">
      <w:pPr>
        <w:spacing w:line="700" w:lineRule="exact"/>
        <w:jc w:val="left"/>
        <w:rPr>
          <w:rFonts w:hint="eastAsia" w:hAnsi="宋体" w:eastAsia="仿宋_GB2312" w:cs="宋体"/>
          <w:kern w:val="0"/>
          <w:sz w:val="36"/>
          <w:szCs w:val="36"/>
          <w:lang w:eastAsia="zh-CN"/>
        </w:rPr>
      </w:pPr>
    </w:p>
    <w:p w14:paraId="2B783C37">
      <w:pPr>
        <w:spacing w:line="700" w:lineRule="exact"/>
        <w:jc w:val="left"/>
        <w:rPr>
          <w:rFonts w:hint="eastAsia" w:hAnsi="宋体" w:eastAsia="仿宋_GB2312" w:cs="宋体"/>
          <w:kern w:val="0"/>
          <w:sz w:val="36"/>
          <w:szCs w:val="36"/>
          <w:lang w:eastAsia="zh-CN"/>
        </w:rPr>
      </w:pPr>
    </w:p>
    <w:p w14:paraId="6162B04D">
      <w:pPr>
        <w:spacing w:line="700" w:lineRule="exact"/>
        <w:jc w:val="left"/>
        <w:rPr>
          <w:rFonts w:hint="eastAsia" w:hAnsi="宋体" w:eastAsia="仿宋_GB2312" w:cs="宋体"/>
          <w:kern w:val="0"/>
          <w:sz w:val="36"/>
          <w:szCs w:val="36"/>
          <w:lang w:eastAsia="zh-CN"/>
        </w:rPr>
      </w:pPr>
    </w:p>
    <w:p w14:paraId="463C740E">
      <w:pPr>
        <w:spacing w:line="700" w:lineRule="exact"/>
        <w:jc w:val="left"/>
        <w:rPr>
          <w:rFonts w:hint="eastAsia" w:hAnsi="宋体" w:eastAsia="仿宋_GB2312" w:cs="宋体"/>
          <w:kern w:val="0"/>
          <w:sz w:val="36"/>
          <w:szCs w:val="36"/>
          <w:lang w:eastAsia="zh-CN"/>
        </w:rPr>
      </w:pPr>
    </w:p>
    <w:p w14:paraId="56B8BC3D">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克州水利局</w:t>
      </w:r>
    </w:p>
    <w:p w14:paraId="2BD5EBE4">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7A4A444A">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3AC5FAB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6D82261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克孜勒苏柯尔克孜自治州水利局是自治州人民政府主管水行政的职能部门，统一管理全州水资源和河道、水库、湖泊，主管全州防汛抗旱、水土保持工作，负责全州水利、水行业的管理。主要职责是：贯彻实施《中华人民共和国水法》、《中华人民共和国水土保持法》、《中华人民共和国渔业法》、《中华人民共和国河道管理条例》、《中华人民共和国防洪法》等法律、法规，依法治水、管水；组织制定全州水利、水产业发展战略规划，中长期规划和年度计划，以及全州河道、湖泊的流域综合规划，并依法负责监督实施；主管全州河道、湖泊、水库及人工水道等水域及防洪工程、负责州内主要河道、水库的综合治理及开发利用工作；对全州水利工程建设进行行业管理；指导农村水利工作；组织协调农田水利基本建设、农村水利和乡镇供水工作；主管全州防汛抗旱工作及水土保持工作，负责全州防汛抗旱总指挥部办公室的日常工作；负责我州农村改水防病长期规划及年度计划编制，组织、工程设计审查，监督改水工程建设；负责审查大中型水利、水产基建项目建议书和可行性报告及初步设计；组织重大水利、水产科学研究和技术推广；组织对水利行业技术质量标准和水利工程的规程、规范的监督实施；承办自治州人民政府交办的其他事项。 </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克孜勒苏柯尔克孜自治州水利局单位无下属预算单位，下设10个科室，分别是：办公室、规划计划科、水资源管理科、农牧水利和水土保持科、水利工程建设运行科、河湖管理中心、防汛抗旱指挥部办公室、农村供水办公室、质量监督站，水库移民事务管理中心。</w:t>
      </w:r>
      <w:r>
        <w:rPr>
          <w:rFonts w:hint="eastAsia" w:ascii="仿宋_GB2312" w:hAnsi="宋体" w:eastAsia="仿宋_GB2312"/>
          <w:b w:val="0"/>
          <w:bCs/>
          <w:sz w:val="32"/>
          <w:szCs w:val="32"/>
        </w:rPr>
        <w:cr/>
      </w:r>
      <w:r>
        <w:rPr>
          <w:rFonts w:hint="eastAsia" w:ascii="仿宋_GB2312" w:hAnsi="宋体" w:eastAsia="仿宋_GB2312"/>
          <w:b w:val="0"/>
          <w:bCs/>
          <w:sz w:val="32"/>
          <w:szCs w:val="32"/>
        </w:rPr>
        <w:t>克孜勒苏柯尔克孜自治州水利局单位编制数35，实有人数53人，其中：在职33人，增加0人； 退休20人，减少0人；离休0人，增加0人。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我局重点工作主要有1、坚持多措并举，水利建设投资完成既定目标。2、坚持高位推进，重大水利项目前期取得新成果。3、强化规划引领，加快补齐水利工程短板。4、紧盯民生水利，全力推进民生工程建设进度。5、践行总基调，严格落实最严格水资源管理制度。6、坚持问题导向，全力推进河湖面貌取得明显改善。7、贯彻新发展理念，全力推进水土保持工作取得新的成效。8、强化监管职责，全力推进水利监管进一步规范有序。9、加强顶层设计，全力推进水利信息化建设有序开展。10、认真履职尽责，全力做好安全生产和防汛抗旱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水利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（2）收支管理：领导层是本单位收支业务管理的决策部门，负责审批单位收支业务等事项。涉及“三重一大”事项，根据《克州水利局集体决策制度》和《克州水利局项目管理办法》办理。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水利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水利局合同管理办法》相关规定，克州水利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601.72万元，项目支出安排资金2364.86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本单位2021年度项目支出2364.86万元，涉及项目数量12个，其中：重点项目支出83万元，涉及重点项目数量1个，重点项目支出与部门项目总支出（除去中央转移支付73类资金）的比率为24.44%。</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2021年度本单位年初批复部门预算资金总额为574.63万元，年中调增预算总额为2391.95万元，调整后全年预算资金总额为2966.58万元。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2021年度本单位部门整体支出资金总额为2966.58万元，预算执行率为100%，预算调整率为</w:t>
      </w:r>
      <w:r>
        <w:rPr>
          <w:rFonts w:hint="eastAsia" w:ascii="仿宋_GB2312" w:hAnsi="宋体" w:eastAsia="仿宋_GB2312"/>
          <w:b w:val="0"/>
          <w:bCs/>
          <w:sz w:val="32"/>
          <w:szCs w:val="32"/>
          <w:lang w:val="en-US" w:eastAsia="zh-CN"/>
        </w:rPr>
        <w:t>416.27</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年初政府采购预算数为93.06万元，实际政府采购数为203.72万元万元，政府采购执行率为218.91%。</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1FD67CB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7946BE3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为加强我单位预算管理、规范财务行为我单位制定了《克州水利局内部控制规范》《克州水利局项目管理规范》等资金管理制度，已建立制度均健全且有效运行。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2021年度我单位基本支出预算总额为601.72万元，其中人员经费566.88万元，公用经费34.84万元。实际执行总额为601.72万元，预算执行率100%。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8.79万元，比上年减少3.23万元，减少26.89%，主要原因是：按照厉行节约的要求，2021年缩减公务车运行维护费，因此支出随之减少。其中，因公出国（境）费支出0万元；公务用车购置及运行维护费支出8.69万元；公务接待费支出0.97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与年初预算数相比情况：一般公共预算“三公”经费支出年初预算数11.50万元，预算执行数为8.79万元，执行率为76.43%，主要原因是：按照厉行节约的要求，2021年缩减公务车运行维护费，因此支出随之减少。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2021年度本单位项目支出预算总额为2439.58万元，实际执行资金总额为2364.86万元，预算执行率为96.94%。</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2021年度预算安排专项资金2160.99万元，实际支出资金2143.5万元，预算执行率为99.19%，涉及项目个数4个，专项经费按照政策要求实行专款专用，不存在截留、挤占、挪用、虚列支出。各项目详细执行情况如下：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水资源节约管理与保护经费项目:全年预算数为30万元，预算执行数为18.96万元，预算执行率为63.2%。</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为民办实事和第一书记工作经费项目:全年预算数为30.99万元，预算执行数为20.54万元，预算执行率为79.19%。</w:t>
      </w:r>
      <w:r>
        <w:rPr>
          <w:rFonts w:hint="eastAsia" w:ascii="仿宋_GB2312" w:hAnsi="宋体" w:eastAsia="仿宋_GB2312"/>
          <w:b w:val="0"/>
          <w:bCs/>
          <w:sz w:val="32"/>
          <w:szCs w:val="32"/>
        </w:rPr>
        <w:cr/>
      </w:r>
      <w:r>
        <w:rPr>
          <w:rFonts w:hint="eastAsia" w:ascii="仿宋_GB2312" w:hAnsi="宋体" w:eastAsia="仿宋_GB2312"/>
          <w:b w:val="0"/>
          <w:bCs/>
          <w:sz w:val="32"/>
          <w:szCs w:val="32"/>
        </w:rPr>
        <w:t>　　乌恰县玛尔坎恰提水利枢纽可行性研究项目经费项目:全年预算数为1500万元，预算执行数为1500万元，预算执行率为100%。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玛尔坎恰提水利枢纽前期费项目:全年预算数为600万元，预算执行数为600万元，预算执行率为100%。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2021年度预算安排本级财力资金278.59万元，实际支出资金221.36万元，预算执行率为79.46%，涉及项目个数8个，各项目详细执行情况如下：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河长制工作经费项目:全年预算数为40万元，预算执行数为34.89万元，预算执行率为87.23%。</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消防运行维护费项目:全年预算数为2.59万元，预算执行数为2.59万元，预算执行率为100%。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水土保持技术评审费项目:全年预算数为8万元，预算执行数为2.04万元，预算执行率为25.50%。</w:t>
      </w:r>
      <w:r>
        <w:rPr>
          <w:rFonts w:hint="eastAsia" w:ascii="仿宋_GB2312" w:hAnsi="宋体" w:eastAsia="仿宋_GB2312"/>
          <w:b w:val="0"/>
          <w:bCs/>
          <w:sz w:val="32"/>
          <w:szCs w:val="32"/>
        </w:rPr>
        <w:cr/>
      </w:r>
      <w:r>
        <w:rPr>
          <w:rFonts w:hint="eastAsia" w:ascii="仿宋_GB2312" w:hAnsi="宋体" w:eastAsia="仿宋_GB2312"/>
          <w:b w:val="0"/>
          <w:bCs/>
          <w:sz w:val="32"/>
          <w:szCs w:val="32"/>
        </w:rPr>
        <w:t>　　水土保持监测站费用项目:全年预算数为110万元，预算执行数为63.84万元，预算执行率为58.04%。</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克州大中型水库移民后期扶持</w:t>
      </w:r>
      <w:r>
        <w:rPr>
          <w:rFonts w:hint="eastAsia" w:ascii="仿宋_GB2312" w:hAnsi="宋体" w:eastAsia="仿宋_GB2312"/>
          <w:b w:val="0"/>
          <w:bCs/>
          <w:sz w:val="32"/>
          <w:szCs w:val="32"/>
          <w:lang w:eastAsia="zh-CN"/>
        </w:rPr>
        <w:t>“十四五”规划</w:t>
      </w:r>
      <w:r>
        <w:rPr>
          <w:rFonts w:hint="eastAsia" w:ascii="仿宋_GB2312" w:hAnsi="宋体" w:eastAsia="仿宋_GB2312"/>
          <w:b w:val="0"/>
          <w:bCs/>
          <w:sz w:val="32"/>
          <w:szCs w:val="32"/>
        </w:rPr>
        <w:t>编制项目:全年预算数为15万元，预算执行数为15万元，预算执行率为100%。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喀什噶尔河流域综合规划编制费项目:全年预算数为83万元，预算执行数为83万元，预算执行率为100%。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防汛应急物资储备和山洪预警设备维护经费项目:全年预算数为10万元，预算执行数为10万元，预算执行率为100%。</w:t>
      </w:r>
    </w:p>
    <w:p w14:paraId="30A72FE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53FC919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99.19%。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水资源节约管理与保护经费项目：依据《下达2021年自治区水利相关专项资金预算（项目部分）的通知》（克财农[2021]49号）文件。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为民办实事和第一书记工作经费项目:依据《自治区“访民情惠民生聚民心”驻村工作为民办实事工作经费使用管理办法（试行）的通知》（新民办发[2016]62号）文件。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乌恰县玛尔坎恰提水利枢纽可行性研究项目经费项目:依据《关于下达2021第一批自治区预算内投资预算（前期费）的通知》（克财建[202134号）文件。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玛尔坎恰提水利枢纽前期费项目:依据《关于下达2021第一批自治区预算内投资预算（前期费）的通知》(克财建[202134号)文件。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4项专项，总投入共计2160.99万元，资金全部到位，实际使用资金2143.50万元，专项资金执行率为99.19%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①制订《克州水利局经费使用规范》,为合理合规使用经费提供了有力的制度保障。同时,建立区委组织部项目经费内部管控制度，并严格按要求落实。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成本节约：我单位4个项目成本均未超预算，预算执行率达99.19%。</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水资源节约管理与保护经费项目：主要用于根据用水总量控制要求，建立各县市各行业逐月用水台账，定期开展督导检查，确保执行情况落实。加强取水许可管理，抓好取水许可审批和取水舒克台账管理，大力推进中小型罐区取水许可发证。重点治理非法取水行为，在开展最严格水资源管理中进一步强化依法治水，依法管水工作。组织开展全州计划用水、节约用水工作和节水型社会建设工作。用水资源管理制度，有利于节约用水工作和节水型社会建设工作。</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主要用于“访惠聚”通过开展节假日慰问、组织各类文体、宣传等活动，实现现代文化引领，逐步提高文化队伍建设，通过各类渠道帮助形成良好的社会氛围，有利于民族团结一家亲及为农民办好事，提高农民生活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乌恰县玛尔坎恰提水利枢纽可行性研究项目经费项目:主要用于水利工程建设相关工作，有利于后续水库建成后对克州范围内水资源可持续利用。</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玛尔坎恰提水利枢纽前期费项目::主要用于水利工程建设前期项目可研、招投标等等相关工作，有利于后续水库建成后对克州范围内水资源可持续利用。</w:t>
      </w:r>
    </w:p>
    <w:p w14:paraId="4E20517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2B8883D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cr/>
      </w:r>
      <w:r>
        <w:rPr>
          <w:rFonts w:hint="eastAsia" w:ascii="仿宋_GB2312" w:hAnsi="宋体" w:eastAsia="仿宋_GB2312"/>
          <w:b w:val="0"/>
          <w:bCs/>
          <w:sz w:val="32"/>
          <w:szCs w:val="32"/>
        </w:rPr>
        <w:t>本单位2021年初资产合计数为206.48万元，年末资产合计数为566.98万元。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截止本年度固定资产账面净值83.34万元，年末实际在用固定资产83.34万元，固定资产利用率为100%。</w:t>
      </w:r>
    </w:p>
    <w:p w14:paraId="3634EE4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38A4077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部门单位整体支出共设置一级指标3个，二级指标9个，三级指标21个，其中已完成三级指标19个，指标完成率为90.48%。</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数”指标：预期指标值为&gt;=30人，实际完成指标值为33人，指标完成率为100%。偏差原因：2021年12月份调入3人；2个事业编通过招聘入职，一个调研员从水管处调入，改进措施：做好年初预算，合理设置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“保障车辆数”指标：预期指标值为=3辆，实际完成指标值为3辆，指标完成率为100%。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“河湖岸线保护与利用规划成果上图(条)”指标：预期指标值为&gt;=15条，实际完成指标值为15条，指标完成率为100%。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“河湖管理范围划定报告编制和上图（条）”指标：预期指标值为&gt;=19条，实际完成指标值为19条，指标完成率为100%。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“建成水利行业机构数量（个）”指标：预期指标值为&gt;=3个，实际完成指标值为3个，指标完成率为100%。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“州级河长公示牌更新数量（个）”指标：预期指标值为&gt;=28个，实际完成指标值为28个，指标完成率为100%。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“在建水库数量（座）”指标：预期指标值为=1座，实际完成指标值为1座，指标完成率为100%。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“除险加固水库数量（座）”指标：预期指标值为=2座，实际完成指标值为2座，指标完成率为100%。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（2）　　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“改善河道环境质量”指标：预期指标值为&gt;=90%，实际完成指标值为90%，指标完成率为100%。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“州级河长公示牌更新率”指标：预期指标值为=100%，实际完成指标值为100%，指标完成率为100%。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“供水保证率”指标：预期指标值为=100%，实际完成指标值为100%，指标完成率为100%。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“水利工程验收合格率”指标：预期指标值为&gt;=90%，实际完成指标值为90%，指标完成率为100%。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（3）　　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“项目完成及时率”指标：预期指标值为&gt;=95%，实际完成指标值为95%，指标完成率为100%。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（4）　　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“基本支出”指标：预期指标值为=474.18万元，实际完成指标值为474.18万元，指标完成率为100%。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“项目支出”指标：预期指标值为=100.45万元，实际完成指标值为71.62万元，指标完成率为71.30%。偏差原因：</w:t>
      </w:r>
      <w:r>
        <w:rPr>
          <w:rFonts w:hint="eastAsia" w:ascii="仿宋_GB2312" w:hAnsi="宋体" w:eastAsia="仿宋_GB2312"/>
          <w:b w:val="0"/>
          <w:bCs/>
          <w:sz w:val="32"/>
          <w:szCs w:val="32"/>
        </w:rPr>
        <w:cr/>
      </w:r>
      <w:r>
        <w:rPr>
          <w:rFonts w:hint="eastAsia" w:ascii="仿宋_GB2312" w:hAnsi="宋体" w:eastAsia="仿宋_GB2312"/>
          <w:b w:val="0"/>
          <w:bCs/>
          <w:sz w:val="32"/>
          <w:szCs w:val="32"/>
        </w:rPr>
        <w:t>　　①大学生就业补助项目：因为1人中途离职</w:t>
      </w:r>
      <w:r>
        <w:rPr>
          <w:rFonts w:hint="eastAsia" w:ascii="仿宋_GB2312" w:hAnsi="宋体" w:eastAsia="仿宋_GB2312"/>
          <w:b w:val="0"/>
          <w:bCs/>
          <w:sz w:val="32"/>
          <w:szCs w:val="32"/>
        </w:rPr>
        <w:cr/>
      </w:r>
      <w:r>
        <w:rPr>
          <w:rFonts w:hint="eastAsia" w:ascii="仿宋_GB2312" w:hAnsi="宋体" w:eastAsia="仿宋_GB2312"/>
          <w:b w:val="0"/>
          <w:bCs/>
          <w:sz w:val="32"/>
          <w:szCs w:val="32"/>
        </w:rPr>
        <w:t>　　②群众工作经费（二）项目：发票及时报送财务室，未及时形成支出。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③河长制工作经费项目：因疫情原因培训计划取消，有些票据没按时开票，疫情原因减少出差</w:t>
      </w:r>
      <w:r>
        <w:rPr>
          <w:rFonts w:hint="eastAsia" w:ascii="仿宋_GB2312" w:hAnsi="宋体" w:eastAsia="仿宋_GB2312"/>
          <w:b w:val="0"/>
          <w:bCs/>
          <w:sz w:val="32"/>
          <w:szCs w:val="32"/>
        </w:rPr>
        <w:cr/>
      </w:r>
      <w:r>
        <w:rPr>
          <w:rFonts w:hint="eastAsia" w:ascii="仿宋_GB2312" w:hAnsi="宋体" w:eastAsia="仿宋_GB2312"/>
          <w:b w:val="0"/>
          <w:bCs/>
          <w:sz w:val="32"/>
          <w:szCs w:val="32"/>
        </w:rPr>
        <w:t>　　④最严格水资源管理经费项目：没有及时开票及报销</w:t>
      </w:r>
      <w:r>
        <w:rPr>
          <w:rFonts w:hint="eastAsia" w:ascii="仿宋_GB2312" w:hAnsi="宋体" w:eastAsia="仿宋_GB2312"/>
          <w:b w:val="0"/>
          <w:bCs/>
          <w:sz w:val="32"/>
          <w:szCs w:val="32"/>
        </w:rPr>
        <w:cr/>
      </w:r>
      <w:r>
        <w:rPr>
          <w:rFonts w:hint="eastAsia" w:ascii="仿宋_GB2312" w:hAnsi="宋体" w:eastAsia="仿宋_GB2312"/>
          <w:b w:val="0"/>
          <w:bCs/>
          <w:sz w:val="32"/>
          <w:szCs w:val="32"/>
        </w:rPr>
        <w:t>　　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①大学生就业补助项目：及时发放大学生就业补助，做好大学生安抚工作，降低离职率。</w:t>
      </w:r>
      <w:r>
        <w:rPr>
          <w:rFonts w:hint="eastAsia" w:ascii="仿宋_GB2312" w:hAnsi="宋体" w:eastAsia="仿宋_GB2312"/>
          <w:b w:val="0"/>
          <w:bCs/>
          <w:sz w:val="32"/>
          <w:szCs w:val="32"/>
        </w:rPr>
        <w:cr/>
      </w:r>
      <w:r>
        <w:rPr>
          <w:rFonts w:hint="eastAsia" w:ascii="仿宋_GB2312" w:hAnsi="宋体" w:eastAsia="仿宋_GB2312"/>
          <w:b w:val="0"/>
          <w:bCs/>
          <w:sz w:val="32"/>
          <w:szCs w:val="32"/>
        </w:rPr>
        <w:t>　　②群众工作经费（二）项目：及时报送发票，及时形成支出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③河长制工作经费项目：及时报送发票，及时形成支出，做好年初预算，考虑到不可抗力因素进行目标的设置。</w:t>
      </w:r>
      <w:r>
        <w:rPr>
          <w:rFonts w:hint="eastAsia" w:ascii="仿宋_GB2312" w:hAnsi="宋体" w:eastAsia="仿宋_GB2312"/>
          <w:b w:val="0"/>
          <w:bCs/>
          <w:sz w:val="32"/>
          <w:szCs w:val="32"/>
        </w:rPr>
        <w:cr/>
      </w:r>
      <w:r>
        <w:rPr>
          <w:rFonts w:hint="eastAsia" w:ascii="仿宋_GB2312" w:hAnsi="宋体" w:eastAsia="仿宋_GB2312"/>
          <w:b w:val="0"/>
          <w:bCs/>
          <w:sz w:val="32"/>
          <w:szCs w:val="32"/>
        </w:rPr>
        <w:t>　　④最严格水资源管理经费项目：及时报送发票，及时形成支出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“解决环境较差地区农村集中供水率”指标：预期指标值为=100%，实际完成指标值为100%，指标完成率为100%。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（2）　　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“改善水污染问题”指标：预期指标值为持续改善，实际完成指标值为持续改善，指标完成率为100%。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“提高防洪减灾能力”指标：预期指标值为有效提高，实际完成指标值为有效提高，指标完成率为100%。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（3）　　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“维护生态环境平衡”指标：预期指标值为持续改善，实际完成指标值为持续改善，指标完成率为100%。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“促进河道规范化管理”指标：预期指标值为持续改善，实际完成指标值为持续改善，指标完成率为100%。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p>
    <w:p w14:paraId="63CEF30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23645F2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1A6F39F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1F637E7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ascii="黑体" w:hAnsi="黑体" w:eastAsia="黑体" w:cs="宋体"/>
          <w:b/>
          <w:bCs w:val="0"/>
          <w:color w:val="000000" w:themeColor="text1"/>
          <w:sz w:val="32"/>
          <w:szCs w:val="32"/>
          <w:lang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7E76C3CF"/>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C4E4B7F"/>
    <w:rsid w:val="0D1922F1"/>
    <w:rsid w:val="108622B3"/>
    <w:rsid w:val="1438599A"/>
    <w:rsid w:val="166E2089"/>
    <w:rsid w:val="200F4073"/>
    <w:rsid w:val="24B86128"/>
    <w:rsid w:val="263173B8"/>
    <w:rsid w:val="51C70EA9"/>
    <w:rsid w:val="54F842B6"/>
    <w:rsid w:val="57E61659"/>
    <w:rsid w:val="656071F2"/>
    <w:rsid w:val="6BF1756B"/>
    <w:rsid w:val="6F5E1AA3"/>
    <w:rsid w:val="70182348"/>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10908</Words>
  <Characters>11542</Characters>
  <Lines>2</Lines>
  <Paragraphs>1</Paragraphs>
  <TotalTime>1</TotalTime>
  <ScaleCrop>false</ScaleCrop>
  <LinksUpToDate>false</LinksUpToDate>
  <CharactersWithSpaces>11882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2025-07-31T03:14:37Z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